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1195593"/>
        <w:docPartObj>
          <w:docPartGallery w:val="Cover Pages"/>
          <w:docPartUnique/>
        </w:docPartObj>
      </w:sdtPr>
      <w:sdtEndPr/>
      <w:sdtContent>
        <w:p w14:paraId="4285D787" w14:textId="77264517" w:rsidR="000207A0" w:rsidRDefault="000207A0"/>
        <w:p w14:paraId="616057B3" w14:textId="59BAB5AB" w:rsidR="0078508E" w:rsidRPr="00C44B14" w:rsidRDefault="0078508E">
          <w:pPr>
            <w:rPr>
              <w:b/>
              <w:bCs/>
              <w:color w:val="2E74B5" w:themeColor="accent5" w:themeShade="BF"/>
              <w:sz w:val="28"/>
              <w:szCs w:val="28"/>
            </w:rPr>
          </w:pPr>
          <w:r w:rsidRPr="00C44B14">
            <w:rPr>
              <w:b/>
              <w:bCs/>
              <w:color w:val="2E74B5" w:themeColor="accent5" w:themeShade="BF"/>
              <w:sz w:val="28"/>
              <w:szCs w:val="28"/>
            </w:rPr>
            <w:t xml:space="preserve">Meld-, Overleg- en Aangifteplicht bij zedenmisdrijven (Wet MOA) </w:t>
          </w:r>
        </w:p>
        <w:p w14:paraId="1B4642BF" w14:textId="77777777" w:rsidR="00D93FBB" w:rsidRDefault="00D93FBB" w:rsidP="00D93FBB">
          <w:pPr>
            <w:pStyle w:val="Default"/>
          </w:pPr>
        </w:p>
        <w:p w14:paraId="7ED59F49" w14:textId="22E91D43" w:rsidR="00A73E1E" w:rsidRDefault="00D93FBB" w:rsidP="00D93FBB">
          <w:r>
            <w:t>Per 1 juli 2024 geldt de nieuwe Wet seksuele misdrijven. Ook in het onderwijs kunnen kinderen en medewerkers te maken krijgen met seksuele misdrijven. In dit document staat het protocol beschreven wat nagevolgd dient te worden wanneer er sprake is van seksueel grensoverschrijdend gedrag.</w:t>
          </w:r>
        </w:p>
        <w:p w14:paraId="02D781F8" w14:textId="6B8577CD" w:rsidR="00A54756" w:rsidRDefault="008A5C0B" w:rsidP="00D93FBB">
          <w:r>
            <w:t xml:space="preserve">Bij Proloog volgen we de richtlijnen van </w:t>
          </w:r>
          <w:hyperlink r:id="rId11" w:anchor="over-de-grens-in-het-po" w:history="1">
            <w:r w:rsidRPr="00C44B14">
              <w:rPr>
                <w:rStyle w:val="Hyperlink"/>
              </w:rPr>
              <w:t>School en Veiligheid</w:t>
            </w:r>
          </w:hyperlink>
          <w:r>
            <w:t xml:space="preserve"> en </w:t>
          </w:r>
          <w:hyperlink r:id="rId12" w:history="1">
            <w:r w:rsidRPr="00716C79">
              <w:rPr>
                <w:rStyle w:val="Hyperlink"/>
              </w:rPr>
              <w:t>Inspectie van het Onderwijs.</w:t>
            </w:r>
          </w:hyperlink>
          <w:r>
            <w:t xml:space="preserve"> </w:t>
          </w:r>
        </w:p>
        <w:p w14:paraId="6F5ADD92" w14:textId="79AD93CB" w:rsidR="00A73E1E" w:rsidRPr="00716C79" w:rsidRDefault="00A73E1E">
          <w:pPr>
            <w:rPr>
              <w:b/>
              <w:bCs/>
              <w:color w:val="2E74B5" w:themeColor="accent5" w:themeShade="BF"/>
              <w:sz w:val="24"/>
              <w:szCs w:val="24"/>
            </w:rPr>
          </w:pPr>
          <w:r w:rsidRPr="00716C79">
            <w:rPr>
              <w:b/>
              <w:bCs/>
              <w:color w:val="2E74B5" w:themeColor="accent5" w:themeShade="BF"/>
              <w:sz w:val="24"/>
              <w:szCs w:val="24"/>
            </w:rPr>
            <w:t xml:space="preserve">Wat betekent de wet MOA voor een school? </w:t>
          </w:r>
        </w:p>
        <w:p w14:paraId="6D6A2061" w14:textId="3011EC9C" w:rsidR="003E6330" w:rsidRDefault="00220AF3">
          <w:r>
            <w:t xml:space="preserve">De Wet bestrijding seksueel misbruik en seksuele intimidatie in het onderwijs wordt ook wel de Meld-, </w:t>
          </w:r>
          <w:r w:rsidR="00146A6A">
            <w:t>O</w:t>
          </w:r>
          <w:r>
            <w:t>verleg- en</w:t>
          </w:r>
          <w:r w:rsidR="00EE5A2D">
            <w:t xml:space="preserve"> A</w:t>
          </w:r>
          <w:r>
            <w:t xml:space="preserve">angifteplicht genoemd. Deze wet </w:t>
          </w:r>
          <w:r w:rsidR="0038275D">
            <w:t xml:space="preserve">bestaat sinds 1999 en </w:t>
          </w:r>
          <w:r w:rsidRPr="00220AF3">
            <w:rPr>
              <w:u w:val="single"/>
            </w:rPr>
            <w:t>verplicht</w:t>
          </w:r>
          <w:r>
            <w:t xml:space="preserve"> alle medewerkers die het vermoeden hebben van, of informatie krijgen over, een mogelijk </w:t>
          </w:r>
          <w:r w:rsidR="00EE5A2D">
            <w:t>se</w:t>
          </w:r>
          <w:r w:rsidR="001F240C">
            <w:t>ks</w:t>
          </w:r>
          <w:r w:rsidR="00EE5A2D">
            <w:t>ueel misdrijf</w:t>
          </w:r>
          <w:r w:rsidR="003A0A31">
            <w:t xml:space="preserve"> of intimidatie</w:t>
          </w:r>
          <w:r w:rsidR="00EE5A2D">
            <w:t xml:space="preserve"> </w:t>
          </w:r>
          <w:r>
            <w:t>door een medewerker van de school jegens een minderjarige leerling</w:t>
          </w:r>
          <w:r w:rsidR="00DA5C5F">
            <w:t xml:space="preserve"> of student</w:t>
          </w:r>
          <w:r>
            <w:t xml:space="preserve"> onmiddellijk door te geven aan het bevoegd gezag. </w:t>
          </w:r>
        </w:p>
        <w:p w14:paraId="50697173" w14:textId="7F436B0B" w:rsidR="00A774A1" w:rsidRDefault="00712B25">
          <w:r w:rsidRPr="00814599">
            <w:rPr>
              <w:noProof/>
            </w:rPr>
            <w:drawing>
              <wp:anchor distT="0" distB="0" distL="114300" distR="114300" simplePos="0" relativeHeight="251655680" behindDoc="1" locked="0" layoutInCell="1" allowOverlap="1" wp14:anchorId="452F8178" wp14:editId="0D8980C6">
                <wp:simplePos x="0" y="0"/>
                <wp:positionH relativeFrom="margin">
                  <wp:posOffset>3361055</wp:posOffset>
                </wp:positionH>
                <wp:positionV relativeFrom="paragraph">
                  <wp:posOffset>675640</wp:posOffset>
                </wp:positionV>
                <wp:extent cx="2952750" cy="3257550"/>
                <wp:effectExtent l="0" t="0" r="0" b="0"/>
                <wp:wrapTight wrapText="bothSides">
                  <wp:wrapPolygon edited="0">
                    <wp:start x="0" y="0"/>
                    <wp:lineTo x="0" y="21474"/>
                    <wp:lineTo x="21461" y="21474"/>
                    <wp:lineTo x="21461" y="0"/>
                    <wp:lineTo x="0" y="0"/>
                  </wp:wrapPolygon>
                </wp:wrapTight>
                <wp:docPr id="1609695384"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95384"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952750" cy="3257550"/>
                        </a:xfrm>
                        <a:prstGeom prst="rect">
                          <a:avLst/>
                        </a:prstGeom>
                      </pic:spPr>
                    </pic:pic>
                  </a:graphicData>
                </a:graphic>
                <wp14:sizeRelH relativeFrom="margin">
                  <wp14:pctWidth>0</wp14:pctWidth>
                </wp14:sizeRelH>
                <wp14:sizeRelV relativeFrom="margin">
                  <wp14:pctHeight>0</wp14:pctHeight>
                </wp14:sizeRelV>
              </wp:anchor>
            </w:drawing>
          </w:r>
          <w:r w:rsidR="00D86ABF">
            <w:t xml:space="preserve">De meld-, overleg- en aangifteplicht is bedoeld om zorgvuldig en tijdig stappen te kunnen zetten die in het belang zijn van de veiligheid van alle betrokkenen. </w:t>
          </w:r>
          <w:r w:rsidR="005E44C8">
            <w:t>Voor een school betekent dit dat er specifieke verplichtingen zijn voor het personeel om te handelen bij vermoedens van seksueel misbruik</w:t>
          </w:r>
          <w:r w:rsidR="00D86ABF">
            <w:t xml:space="preserve"> of intimidatie. </w:t>
          </w:r>
        </w:p>
        <w:p w14:paraId="364CFA3C" w14:textId="5639B78C" w:rsidR="00A774A1" w:rsidRDefault="005E44C8">
          <w:r>
            <w:t xml:space="preserve">Hier zijn de belangrijkste punten: </w:t>
          </w:r>
        </w:p>
        <w:p w14:paraId="2CC166BC" w14:textId="3237F914" w:rsidR="00A774A1" w:rsidRDefault="005E44C8">
          <w:r>
            <w:t xml:space="preserve">1. </w:t>
          </w:r>
          <w:r w:rsidRPr="0021428A">
            <w:rPr>
              <w:b/>
              <w:bCs/>
              <w:color w:val="1F3864" w:themeColor="accent1" w:themeShade="80"/>
            </w:rPr>
            <w:t>Meldplicht</w:t>
          </w:r>
          <w:r w:rsidRPr="0021428A">
            <w:rPr>
              <w:color w:val="1F3864" w:themeColor="accent1" w:themeShade="80"/>
            </w:rPr>
            <w:t xml:space="preserve">: </w:t>
          </w:r>
          <w:r>
            <w:t xml:space="preserve">Medewerkers van een school moeten vermoedens van </w:t>
          </w:r>
          <w:r w:rsidR="00A74020">
            <w:t xml:space="preserve">seksueel </w:t>
          </w:r>
          <w:r>
            <w:t>misbruik</w:t>
          </w:r>
          <w:r w:rsidR="00A74020">
            <w:t xml:space="preserve"> of intimidatie</w:t>
          </w:r>
          <w:r>
            <w:t xml:space="preserve"> direct melden bij </w:t>
          </w:r>
          <w:r w:rsidR="00A74020">
            <w:t>he</w:t>
          </w:r>
          <w:r w:rsidR="00B16277">
            <w:t xml:space="preserve">t bevoegd gezag. Het is niet voldoende iemand ander te informeren, zoals de schoolleiding. </w:t>
          </w:r>
        </w:p>
        <w:p w14:paraId="72B637FE" w14:textId="2FDC2870" w:rsidR="00A774A1" w:rsidRDefault="005E44C8">
          <w:r>
            <w:t xml:space="preserve">2. </w:t>
          </w:r>
          <w:r w:rsidRPr="0021428A">
            <w:rPr>
              <w:b/>
              <w:bCs/>
              <w:color w:val="1F3864" w:themeColor="accent1" w:themeShade="80"/>
            </w:rPr>
            <w:t>Overlegplicht</w:t>
          </w:r>
          <w:r w:rsidRPr="0021428A">
            <w:rPr>
              <w:color w:val="1F3864" w:themeColor="accent1" w:themeShade="80"/>
            </w:rPr>
            <w:t xml:space="preserve">: </w:t>
          </w:r>
          <w:r>
            <w:t>Na een melding moet het b</w:t>
          </w:r>
          <w:r w:rsidR="00B16277">
            <w:t>evoegd gezag</w:t>
          </w:r>
          <w:r>
            <w:t xml:space="preserve"> </w:t>
          </w:r>
          <w:r w:rsidR="00B16277">
            <w:t xml:space="preserve">direct </w:t>
          </w:r>
          <w:r>
            <w:t xml:space="preserve">contact opnemen met de vertrouwensinspecteur onderwijs om te overleggen over de situatie en te bepalen of aangifte bij de politie nodig is. </w:t>
          </w:r>
        </w:p>
        <w:p w14:paraId="5C3878F4" w14:textId="383708F1" w:rsidR="00E447C3" w:rsidRDefault="005E44C8">
          <w:r>
            <w:t xml:space="preserve">3. </w:t>
          </w:r>
          <w:r w:rsidRPr="0021428A">
            <w:rPr>
              <w:b/>
              <w:bCs/>
              <w:color w:val="1F3864" w:themeColor="accent1" w:themeShade="80"/>
            </w:rPr>
            <w:t>Aangifteplicht</w:t>
          </w:r>
          <w:r w:rsidRPr="0021428A">
            <w:rPr>
              <w:color w:val="1F3864" w:themeColor="accent1" w:themeShade="80"/>
            </w:rPr>
            <w:t xml:space="preserve">: </w:t>
          </w:r>
          <w:r>
            <w:t>Als uit het overleg blijkt dat aangifte nodig is, moet het be</w:t>
          </w:r>
          <w:r w:rsidR="00A66024">
            <w:t>voegd gezag</w:t>
          </w:r>
          <w:r>
            <w:t xml:space="preserve"> direct aangifte doen bij de politie.</w:t>
          </w:r>
        </w:p>
        <w:p w14:paraId="7A4B836B" w14:textId="7CB72F64" w:rsidR="006D4430" w:rsidRDefault="006D4430">
          <w:r>
            <w:t xml:space="preserve">Het schoolbestuur informeert de betrokkenen, zowel het slachtoffer als de (mogelijke) dader, als tot aangifte wordt overgegaan. Dit is wettelijk voorgeschreven. </w:t>
          </w:r>
        </w:p>
        <w:p w14:paraId="6FEF02C3" w14:textId="312B1103" w:rsidR="00D23D6C" w:rsidRDefault="00D23D6C">
          <w:r>
            <w:br w:type="page"/>
          </w:r>
        </w:p>
      </w:sdtContent>
    </w:sdt>
    <w:p w14:paraId="419993D2" w14:textId="77777777" w:rsidR="000D209B" w:rsidRDefault="000D209B" w:rsidP="000D209B">
      <w:pPr>
        <w:pStyle w:val="Default"/>
      </w:pPr>
    </w:p>
    <w:p w14:paraId="3BC8B78E" w14:textId="3B95F22F" w:rsidR="000D209B" w:rsidRDefault="000D209B" w:rsidP="000D209B">
      <w:pPr>
        <w:pStyle w:val="Default"/>
        <w:rPr>
          <w:b/>
          <w:bCs/>
          <w:color w:val="2E74B5" w:themeColor="accent5" w:themeShade="BF"/>
        </w:rPr>
      </w:pPr>
      <w:r w:rsidRPr="00716C79">
        <w:rPr>
          <w:b/>
          <w:bCs/>
          <w:color w:val="2E74B5" w:themeColor="accent5" w:themeShade="BF"/>
        </w:rPr>
        <w:t xml:space="preserve">Seksueel grensoverschrijdend gedrag: wat wordt daaronder verstaan? </w:t>
      </w:r>
    </w:p>
    <w:p w14:paraId="337CD6ED" w14:textId="77777777" w:rsidR="00716C79" w:rsidRPr="00716C79" w:rsidRDefault="00716C79" w:rsidP="000D209B">
      <w:pPr>
        <w:pStyle w:val="Default"/>
        <w:rPr>
          <w:color w:val="2E74B5" w:themeColor="accent5" w:themeShade="BF"/>
        </w:rPr>
      </w:pPr>
    </w:p>
    <w:p w14:paraId="1E369B61" w14:textId="77777777" w:rsidR="000D209B" w:rsidRDefault="000D209B" w:rsidP="000D209B">
      <w:pPr>
        <w:pStyle w:val="Default"/>
        <w:rPr>
          <w:sz w:val="22"/>
          <w:szCs w:val="22"/>
        </w:rPr>
      </w:pPr>
      <w:r>
        <w:rPr>
          <w:sz w:val="22"/>
          <w:szCs w:val="22"/>
        </w:rPr>
        <w:t xml:space="preserve">Seksueel grensoverschrijdend gedrag is een verzamelterm voor alle vormen van seksueel gedrag die over de grenzen van een ander gaan. Hieronder valt bijvoorbeeld: </w:t>
      </w:r>
    </w:p>
    <w:p w14:paraId="2FF39515" w14:textId="6E2BF683" w:rsidR="000D209B" w:rsidRDefault="000D209B" w:rsidP="006F1664">
      <w:pPr>
        <w:pStyle w:val="Default"/>
        <w:numPr>
          <w:ilvl w:val="0"/>
          <w:numId w:val="2"/>
        </w:numPr>
        <w:spacing w:after="73"/>
        <w:rPr>
          <w:sz w:val="22"/>
          <w:szCs w:val="22"/>
        </w:rPr>
      </w:pPr>
      <w:r>
        <w:rPr>
          <w:sz w:val="22"/>
          <w:szCs w:val="22"/>
        </w:rPr>
        <w:t xml:space="preserve">Seksuele intimidatie (dubbelzinnige opmerkingen of grappen maken, verhalen over seksuele </w:t>
      </w:r>
      <w:r w:rsidR="006F1664">
        <w:rPr>
          <w:sz w:val="22"/>
          <w:szCs w:val="22"/>
        </w:rPr>
        <w:t>e</w:t>
      </w:r>
      <w:r>
        <w:rPr>
          <w:sz w:val="22"/>
          <w:szCs w:val="22"/>
        </w:rPr>
        <w:t xml:space="preserve">rvaringen) </w:t>
      </w:r>
    </w:p>
    <w:p w14:paraId="2EAB0CFD" w14:textId="77777777" w:rsidR="000D209B" w:rsidRDefault="000D209B" w:rsidP="006F1664">
      <w:pPr>
        <w:pStyle w:val="Default"/>
        <w:numPr>
          <w:ilvl w:val="0"/>
          <w:numId w:val="2"/>
        </w:numPr>
        <w:spacing w:after="73"/>
        <w:rPr>
          <w:sz w:val="22"/>
          <w:szCs w:val="22"/>
        </w:rPr>
      </w:pPr>
      <w:r>
        <w:rPr>
          <w:sz w:val="22"/>
          <w:szCs w:val="22"/>
        </w:rPr>
        <w:t xml:space="preserve">Seksueel misbruik (onder dwang seksuele handelingen uitvoeren of ondergaan) </w:t>
      </w:r>
    </w:p>
    <w:p w14:paraId="731E0EE3" w14:textId="77777777" w:rsidR="000D209B" w:rsidRDefault="000D209B" w:rsidP="006F1664">
      <w:pPr>
        <w:pStyle w:val="Default"/>
        <w:numPr>
          <w:ilvl w:val="0"/>
          <w:numId w:val="2"/>
        </w:numPr>
        <w:spacing w:after="73"/>
        <w:rPr>
          <w:sz w:val="22"/>
          <w:szCs w:val="22"/>
        </w:rPr>
      </w:pPr>
      <w:r>
        <w:rPr>
          <w:sz w:val="22"/>
          <w:szCs w:val="22"/>
        </w:rPr>
        <w:t xml:space="preserve">Seksueel geweld. </w:t>
      </w:r>
    </w:p>
    <w:p w14:paraId="632E1785" w14:textId="77777777" w:rsidR="000D209B" w:rsidRDefault="000D209B" w:rsidP="006F1664">
      <w:pPr>
        <w:pStyle w:val="Default"/>
        <w:numPr>
          <w:ilvl w:val="0"/>
          <w:numId w:val="2"/>
        </w:numPr>
        <w:spacing w:after="73"/>
        <w:rPr>
          <w:sz w:val="22"/>
          <w:szCs w:val="22"/>
        </w:rPr>
      </w:pPr>
      <w:r>
        <w:rPr>
          <w:sz w:val="22"/>
          <w:szCs w:val="22"/>
        </w:rPr>
        <w:t xml:space="preserve">Ongewenste aanrakingen (aanranding, verkrachting) </w:t>
      </w:r>
    </w:p>
    <w:p w14:paraId="7A49294C" w14:textId="77777777" w:rsidR="000D209B" w:rsidRDefault="000D209B" w:rsidP="006F1664">
      <w:pPr>
        <w:pStyle w:val="Default"/>
        <w:numPr>
          <w:ilvl w:val="0"/>
          <w:numId w:val="2"/>
        </w:numPr>
        <w:rPr>
          <w:sz w:val="22"/>
          <w:szCs w:val="22"/>
        </w:rPr>
      </w:pPr>
      <w:r>
        <w:rPr>
          <w:sz w:val="22"/>
          <w:szCs w:val="22"/>
        </w:rPr>
        <w:t xml:space="preserve">Ongewenst online gedrag (ongewenst versturen van seksueel getinte appjes, tegen de wil van iemand doorsturen van seksueel getint beeldmateriaal) </w:t>
      </w:r>
    </w:p>
    <w:p w14:paraId="63C23C99" w14:textId="77777777" w:rsidR="000D209B" w:rsidRDefault="000D209B" w:rsidP="000D209B">
      <w:pPr>
        <w:pStyle w:val="Default"/>
        <w:rPr>
          <w:sz w:val="22"/>
          <w:szCs w:val="22"/>
        </w:rPr>
      </w:pPr>
    </w:p>
    <w:p w14:paraId="6AA58CB5" w14:textId="77777777" w:rsidR="006D4430" w:rsidRDefault="000D209B" w:rsidP="000D209B">
      <w:r>
        <w:t xml:space="preserve">Seksuele grensoverschrijding kan zowel opzettelijk als onopzettelijk voorkomen. Een van de partijen stemt niet in met de (seksuele) uitlatingen of handelingen van de ander. Dit kan gebeuren in de fysieke wereld en in de online wereld. Diverse vormen van seksueel grensoverschrijdend gedrag zijn strafbaar. Als daarvan sprake is, wordt dit een zedenmisdrijf genoemd. </w:t>
      </w:r>
    </w:p>
    <w:p w14:paraId="3FFD4675" w14:textId="77777777" w:rsidR="00DE0DE4" w:rsidRPr="00DE0DE4" w:rsidRDefault="00DE0DE4" w:rsidP="00DE0DE4">
      <w:pPr>
        <w:rPr>
          <w:color w:val="2E74B5" w:themeColor="accent5" w:themeShade="BF"/>
          <w:sz w:val="24"/>
          <w:szCs w:val="24"/>
        </w:rPr>
      </w:pPr>
      <w:r w:rsidRPr="00DE0DE4">
        <w:rPr>
          <w:b/>
          <w:bCs/>
          <w:color w:val="2E74B5" w:themeColor="accent5" w:themeShade="BF"/>
          <w:sz w:val="24"/>
          <w:szCs w:val="24"/>
        </w:rPr>
        <w:t xml:space="preserve">Contactpersoon schoolbestuur in geval van meldplicht </w:t>
      </w:r>
    </w:p>
    <w:p w14:paraId="7284BC42" w14:textId="77777777" w:rsidR="00DE0DE4" w:rsidRPr="00DE0DE4" w:rsidRDefault="00DE0DE4" w:rsidP="00DE0DE4">
      <w:pPr>
        <w:rPr>
          <w:b/>
          <w:bCs/>
          <w:sz w:val="24"/>
          <w:szCs w:val="24"/>
        </w:rPr>
      </w:pPr>
      <w:r w:rsidRPr="00DE0DE4">
        <w:rPr>
          <w:b/>
          <w:bCs/>
          <w:i/>
          <w:iCs/>
          <w:sz w:val="24"/>
          <w:szCs w:val="24"/>
        </w:rPr>
        <w:t xml:space="preserve">Tussen medewerker en leerling </w:t>
      </w: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22"/>
      </w:tblGrid>
      <w:tr w:rsidR="00DE0DE4" w:rsidRPr="00DE0DE4" w14:paraId="3A33D6B8" w14:textId="77777777" w:rsidTr="00247709">
        <w:trPr>
          <w:trHeight w:val="715"/>
        </w:trPr>
        <w:tc>
          <w:tcPr>
            <w:tcW w:w="9322" w:type="dxa"/>
            <w:tcBorders>
              <w:top w:val="none" w:sz="6" w:space="0" w:color="auto"/>
              <w:bottom w:val="none" w:sz="6" w:space="0" w:color="auto"/>
            </w:tcBorders>
          </w:tcPr>
          <w:p w14:paraId="6937344C" w14:textId="709A046C" w:rsidR="00DE0DE4" w:rsidRPr="00DE0DE4" w:rsidRDefault="00DE0DE4" w:rsidP="00DE0DE4">
            <w:r w:rsidRPr="00DE0DE4">
              <w:t xml:space="preserve">Bij (een vermoeden van) seksueel grensoverschrijdend gedrag met een leerling is de </w:t>
            </w:r>
            <w:r w:rsidRPr="00DE0DE4">
              <w:rPr>
                <w:b/>
                <w:bCs/>
              </w:rPr>
              <w:t xml:space="preserve">meldplicht </w:t>
            </w:r>
            <w:r w:rsidRPr="00DE0DE4">
              <w:t>van toepassing. Er moet een melding bij het be</w:t>
            </w:r>
            <w:r>
              <w:t>voegd gezag</w:t>
            </w:r>
            <w:r w:rsidRPr="00DE0DE4">
              <w:t xml:space="preserve"> worden gedaan. Voor </w:t>
            </w:r>
            <w:r>
              <w:t>Proloog</w:t>
            </w:r>
            <w:r w:rsidRPr="00DE0DE4">
              <w:t xml:space="preserve"> is </w:t>
            </w:r>
            <w:r w:rsidR="00EC1653">
              <w:t>Tea Wahle</w:t>
            </w:r>
            <w:r>
              <w:t xml:space="preserve"> </w:t>
            </w:r>
            <w:r w:rsidRPr="00DE0DE4">
              <w:t xml:space="preserve">het aanspreekpunt namens het bestuur. </w:t>
            </w:r>
            <w:r w:rsidRPr="00DE0DE4">
              <w:rPr>
                <w:b/>
                <w:bCs/>
              </w:rPr>
              <w:t xml:space="preserve">Bel in geval van meldplicht onmiddellijk </w:t>
            </w:r>
            <w:r w:rsidR="00EC1653">
              <w:rPr>
                <w:b/>
                <w:bCs/>
              </w:rPr>
              <w:t>Tea Wahle</w:t>
            </w:r>
            <w:r>
              <w:rPr>
                <w:b/>
                <w:bCs/>
              </w:rPr>
              <w:t xml:space="preserve">  </w:t>
            </w:r>
            <w:r w:rsidRPr="00DE0DE4">
              <w:rPr>
                <w:b/>
                <w:bCs/>
              </w:rPr>
              <w:t xml:space="preserve">op nummer </w:t>
            </w:r>
            <w:r w:rsidR="004A6808">
              <w:rPr>
                <w:b/>
                <w:bCs/>
              </w:rPr>
              <w:t>058-2347520</w:t>
            </w:r>
          </w:p>
          <w:p w14:paraId="05DE3F6C" w14:textId="77777777" w:rsidR="00DE0DE4" w:rsidRPr="00DE0DE4" w:rsidRDefault="00DE0DE4" w:rsidP="00DE0DE4">
            <w:r w:rsidRPr="00DE0DE4">
              <w:t xml:space="preserve">Stuur bij geen onmiddellijk contact een app waarin gevraagd wordt met spoed contact op te nemen vanwege de meldplicht. </w:t>
            </w:r>
          </w:p>
        </w:tc>
      </w:tr>
    </w:tbl>
    <w:p w14:paraId="525CFA29" w14:textId="77777777" w:rsidR="00DE3D31" w:rsidRPr="00DE3D31" w:rsidRDefault="00DE3D31" w:rsidP="00DE3D31">
      <w:pPr>
        <w:rPr>
          <w:b/>
          <w:bCs/>
          <w:i/>
          <w:iCs/>
          <w:sz w:val="24"/>
          <w:szCs w:val="24"/>
        </w:rPr>
      </w:pPr>
      <w:r w:rsidRPr="00DE3D31">
        <w:rPr>
          <w:b/>
          <w:bCs/>
          <w:i/>
          <w:iCs/>
          <w:sz w:val="24"/>
          <w:szCs w:val="24"/>
        </w:rPr>
        <w:t xml:space="preserve">Tussen medewerkers </w:t>
      </w:r>
    </w:p>
    <w:p w14:paraId="53F5CD49" w14:textId="77777777" w:rsidR="00DE3D31" w:rsidRPr="00DE3D31" w:rsidRDefault="00DE3D31" w:rsidP="00DE3D31">
      <w:pPr>
        <w:rPr>
          <w:color w:val="1F3864" w:themeColor="accent1" w:themeShade="80"/>
        </w:rPr>
      </w:pPr>
      <w:r w:rsidRPr="00DE3D31">
        <w:rPr>
          <w:b/>
          <w:bCs/>
          <w:color w:val="1F3864" w:themeColor="accent1" w:themeShade="80"/>
        </w:rPr>
        <w:t xml:space="preserve">Advies aan de medewerker </w:t>
      </w:r>
    </w:p>
    <w:p w14:paraId="17D153EC" w14:textId="77777777" w:rsidR="00DE3D31" w:rsidRPr="00DE3D31" w:rsidRDefault="00DE3D31" w:rsidP="00DE3D31">
      <w:r w:rsidRPr="00DE3D31">
        <w:t xml:space="preserve">Bij (een vermoeden van) seksueel grensoverschrijdend gedrag tussen medewerkers: </w:t>
      </w:r>
    </w:p>
    <w:p w14:paraId="548D3583" w14:textId="77777777" w:rsidR="00DE3D31" w:rsidRPr="00DE3D31" w:rsidRDefault="00DE3D31" w:rsidP="00B508BE">
      <w:pPr>
        <w:pStyle w:val="Lijstalinea"/>
        <w:numPr>
          <w:ilvl w:val="0"/>
          <w:numId w:val="4"/>
        </w:numPr>
        <w:spacing w:line="240" w:lineRule="auto"/>
      </w:pPr>
      <w:r w:rsidRPr="00DE3D31">
        <w:t xml:space="preserve">Zoek onmiddellijk contact met de leidinggevende, of; </w:t>
      </w:r>
    </w:p>
    <w:p w14:paraId="484AC5F2" w14:textId="77777777" w:rsidR="00DE3D31" w:rsidRPr="00DE3D31" w:rsidRDefault="00DE3D31" w:rsidP="00B508BE">
      <w:pPr>
        <w:pStyle w:val="Lijstalinea"/>
        <w:numPr>
          <w:ilvl w:val="0"/>
          <w:numId w:val="4"/>
        </w:numPr>
        <w:spacing w:line="240" w:lineRule="auto"/>
      </w:pPr>
      <w:r w:rsidRPr="00DE3D31">
        <w:t xml:space="preserve">Zoek onmiddellijk contact met de vertrouwenspersoon van de school, of; </w:t>
      </w:r>
    </w:p>
    <w:p w14:paraId="7798A935" w14:textId="3AECEDED" w:rsidR="00DE3D31" w:rsidRPr="00DE3D31" w:rsidRDefault="00DE3D31" w:rsidP="00B508BE">
      <w:pPr>
        <w:pStyle w:val="Lijstalinea"/>
        <w:numPr>
          <w:ilvl w:val="0"/>
          <w:numId w:val="4"/>
        </w:numPr>
        <w:spacing w:line="240" w:lineRule="auto"/>
      </w:pPr>
      <w:r w:rsidRPr="00DE3D31">
        <w:t xml:space="preserve">Zoek onmiddellijk contact met </w:t>
      </w:r>
      <w:r w:rsidR="004A6808">
        <w:t>Tea Wahle</w:t>
      </w:r>
      <w:r>
        <w:t xml:space="preserve"> van Proloog </w:t>
      </w:r>
    </w:p>
    <w:p w14:paraId="3C5EA380" w14:textId="77777777" w:rsidR="00DE3D31" w:rsidRPr="00DE3D31" w:rsidRDefault="00DE3D31" w:rsidP="00DE3D31">
      <w:pPr>
        <w:rPr>
          <w:color w:val="1F3864" w:themeColor="accent1" w:themeShade="80"/>
        </w:rPr>
      </w:pPr>
      <w:r w:rsidRPr="00DE3D31">
        <w:rPr>
          <w:b/>
          <w:bCs/>
          <w:color w:val="1F3864" w:themeColor="accent1" w:themeShade="80"/>
        </w:rPr>
        <w:t xml:space="preserve">Advies aan directeur en vertrouwenspersoon </w:t>
      </w:r>
    </w:p>
    <w:p w14:paraId="2561A48D" w14:textId="08FB5ED9" w:rsidR="006D4430" w:rsidRDefault="00DE3D31" w:rsidP="00DE3D31">
      <w:r w:rsidRPr="00DE3D31">
        <w:t>Bij (een vermoeden van) seksueel grensoverschrijdend gedrag tussen medewerkers, zoek onmiddellijk contact met</w:t>
      </w:r>
      <w:r w:rsidR="004A6808">
        <w:t xml:space="preserve"> Tea Wahle</w:t>
      </w:r>
      <w:r>
        <w:t xml:space="preserve"> van Proloog</w:t>
      </w:r>
      <w:r w:rsidRPr="00DE3D31">
        <w:t>, zoals hierboven is aangegeven. Vermeld daarbij dat het gaat om grensoverschrijdend gedrag tussen medewerkers.</w:t>
      </w:r>
    </w:p>
    <w:p w14:paraId="4CB25224" w14:textId="77777777" w:rsidR="00B508BE" w:rsidRPr="00B508BE" w:rsidRDefault="00B508BE" w:rsidP="00DE3D31">
      <w:pPr>
        <w:rPr>
          <w:b/>
          <w:bCs/>
          <w:sz w:val="24"/>
          <w:szCs w:val="24"/>
        </w:rPr>
      </w:pPr>
    </w:p>
    <w:p w14:paraId="4FF8EA74" w14:textId="77777777" w:rsidR="00B508BE" w:rsidRDefault="00B508BE">
      <w:pPr>
        <w:rPr>
          <w:rFonts w:ascii="Calibri" w:hAnsi="Calibri" w:cs="Calibri"/>
          <w:b/>
          <w:bCs/>
          <w:i/>
          <w:iCs/>
          <w:color w:val="000000"/>
          <w:sz w:val="24"/>
          <w:szCs w:val="24"/>
        </w:rPr>
      </w:pPr>
      <w:r>
        <w:rPr>
          <w:b/>
          <w:bCs/>
          <w:i/>
          <w:iCs/>
        </w:rPr>
        <w:br w:type="page"/>
      </w:r>
    </w:p>
    <w:p w14:paraId="20110667" w14:textId="7C2FC72C" w:rsidR="00B508BE" w:rsidRPr="00B508BE" w:rsidRDefault="00B508BE" w:rsidP="00B508BE">
      <w:pPr>
        <w:pStyle w:val="Default"/>
        <w:rPr>
          <w:b/>
          <w:bCs/>
        </w:rPr>
      </w:pPr>
      <w:r w:rsidRPr="00B508BE">
        <w:rPr>
          <w:b/>
          <w:bCs/>
          <w:i/>
          <w:iCs/>
        </w:rPr>
        <w:lastRenderedPageBreak/>
        <w:t xml:space="preserve">Tussen leerlingen </w:t>
      </w:r>
    </w:p>
    <w:p w14:paraId="482F5311" w14:textId="77777777" w:rsidR="00B508BE" w:rsidRDefault="00B508BE" w:rsidP="00B508BE">
      <w:pPr>
        <w:pStyle w:val="Default"/>
        <w:rPr>
          <w:sz w:val="22"/>
          <w:szCs w:val="22"/>
        </w:rPr>
      </w:pPr>
      <w:r>
        <w:rPr>
          <w:sz w:val="22"/>
          <w:szCs w:val="22"/>
        </w:rPr>
        <w:t xml:space="preserve">Bij een vermoeden van seksueel grensoverschrijdend gedrag tussen leerlingen, is het advies aan degene die dit vermoedt: </w:t>
      </w:r>
    </w:p>
    <w:p w14:paraId="5A928F1D" w14:textId="77777777" w:rsidR="00B508BE" w:rsidRDefault="00B508BE" w:rsidP="00B508BE">
      <w:pPr>
        <w:pStyle w:val="Default"/>
        <w:numPr>
          <w:ilvl w:val="0"/>
          <w:numId w:val="7"/>
        </w:numPr>
        <w:spacing w:after="73"/>
        <w:rPr>
          <w:sz w:val="22"/>
          <w:szCs w:val="22"/>
        </w:rPr>
      </w:pPr>
      <w:r>
        <w:rPr>
          <w:sz w:val="22"/>
          <w:szCs w:val="22"/>
        </w:rPr>
        <w:t xml:space="preserve">Zoek onmiddellijk contact met de groepsleerkracht, of; </w:t>
      </w:r>
    </w:p>
    <w:p w14:paraId="43892081" w14:textId="77777777" w:rsidR="00B508BE" w:rsidRDefault="00B508BE" w:rsidP="00B508BE">
      <w:pPr>
        <w:pStyle w:val="Default"/>
        <w:numPr>
          <w:ilvl w:val="0"/>
          <w:numId w:val="7"/>
        </w:numPr>
        <w:spacing w:after="73"/>
        <w:rPr>
          <w:sz w:val="22"/>
          <w:szCs w:val="22"/>
        </w:rPr>
      </w:pPr>
      <w:r>
        <w:rPr>
          <w:sz w:val="22"/>
          <w:szCs w:val="22"/>
        </w:rPr>
        <w:t xml:space="preserve">Zoek onmiddellijk contact met de vertrouwenspersoon van de school, of; </w:t>
      </w:r>
    </w:p>
    <w:p w14:paraId="7EB0CDF3" w14:textId="77777777" w:rsidR="00B508BE" w:rsidRDefault="00B508BE" w:rsidP="00B508BE">
      <w:pPr>
        <w:pStyle w:val="Default"/>
        <w:numPr>
          <w:ilvl w:val="0"/>
          <w:numId w:val="7"/>
        </w:numPr>
        <w:rPr>
          <w:sz w:val="22"/>
          <w:szCs w:val="22"/>
        </w:rPr>
      </w:pPr>
      <w:r>
        <w:rPr>
          <w:sz w:val="22"/>
          <w:szCs w:val="22"/>
        </w:rPr>
        <w:t xml:space="preserve">Zoek onmiddellijk contact met de directeur van de school. </w:t>
      </w:r>
    </w:p>
    <w:p w14:paraId="5FD9E25B" w14:textId="77777777" w:rsidR="00B508BE" w:rsidRDefault="00B508BE" w:rsidP="00B508BE">
      <w:pPr>
        <w:pStyle w:val="Default"/>
        <w:rPr>
          <w:sz w:val="22"/>
          <w:szCs w:val="22"/>
        </w:rPr>
      </w:pPr>
    </w:p>
    <w:p w14:paraId="44CD994C" w14:textId="77777777" w:rsidR="00B508BE" w:rsidRDefault="00B508BE" w:rsidP="00B508BE">
      <w:pPr>
        <w:pStyle w:val="Default"/>
        <w:rPr>
          <w:color w:val="006FC0"/>
          <w:sz w:val="22"/>
          <w:szCs w:val="22"/>
        </w:rPr>
      </w:pPr>
      <w:r w:rsidRPr="00B508BE">
        <w:rPr>
          <w:b/>
          <w:bCs/>
          <w:color w:val="1F3864" w:themeColor="accent1" w:themeShade="80"/>
          <w:sz w:val="22"/>
          <w:szCs w:val="22"/>
        </w:rPr>
        <w:t xml:space="preserve">Advies aan directeur en vertrouwenspersoon </w:t>
      </w:r>
    </w:p>
    <w:p w14:paraId="354E517D" w14:textId="4DB68AEF" w:rsidR="00B508BE" w:rsidRPr="00B508BE" w:rsidRDefault="00B508BE" w:rsidP="00B508BE">
      <w:r w:rsidRPr="00B508BE">
        <w:t xml:space="preserve">Bij (een vermoeden van) seksueel grensoverschrijdend gedrag tussen leerlingen, zoek onmiddellijk contact </w:t>
      </w:r>
      <w:r>
        <w:t xml:space="preserve">met </w:t>
      </w:r>
      <w:r w:rsidR="004A6808">
        <w:t>Tea Wahle</w:t>
      </w:r>
      <w:r w:rsidRPr="00B508BE">
        <w:t xml:space="preserve"> van </w:t>
      </w:r>
      <w:r>
        <w:t>Proloog</w:t>
      </w:r>
      <w:r w:rsidRPr="00B508BE">
        <w:t>, zoals hierboven is aangegeven. Vermeld daarbij dat het gaat om grensoverschrijdend gedrag tussen leerlingen.</w:t>
      </w:r>
    </w:p>
    <w:p w14:paraId="725DEA01" w14:textId="77777777" w:rsidR="00A76866" w:rsidRDefault="00A76866" w:rsidP="000D209B">
      <w:pPr>
        <w:rPr>
          <w:b/>
          <w:bCs/>
          <w:sz w:val="28"/>
          <w:szCs w:val="28"/>
        </w:rPr>
      </w:pPr>
    </w:p>
    <w:p w14:paraId="17CD2E4A" w14:textId="68F01B79" w:rsidR="00A76866" w:rsidRDefault="00B5161C" w:rsidP="000D209B">
      <w:pPr>
        <w:rPr>
          <w:b/>
          <w:bCs/>
          <w:color w:val="2E74B5" w:themeColor="accent5" w:themeShade="BF"/>
          <w:sz w:val="24"/>
          <w:szCs w:val="24"/>
        </w:rPr>
      </w:pPr>
      <w:r>
        <w:rPr>
          <w:b/>
          <w:bCs/>
          <w:color w:val="2E74B5" w:themeColor="accent5" w:themeShade="BF"/>
          <w:sz w:val="24"/>
          <w:szCs w:val="24"/>
        </w:rPr>
        <w:t>Organisaties en Websites</w:t>
      </w:r>
    </w:p>
    <w:p w14:paraId="5BCB526A" w14:textId="67FB750E" w:rsidR="00183E25" w:rsidRDefault="00183E25" w:rsidP="00183E25">
      <w:pPr>
        <w:pStyle w:val="Lijstalinea"/>
        <w:numPr>
          <w:ilvl w:val="0"/>
          <w:numId w:val="8"/>
        </w:numPr>
        <w:rPr>
          <w:sz w:val="24"/>
          <w:szCs w:val="24"/>
        </w:rPr>
      </w:pPr>
      <w:hyperlink r:id="rId14" w:history="1">
        <w:r w:rsidRPr="00183E25">
          <w:rPr>
            <w:rStyle w:val="Hyperlink"/>
            <w:sz w:val="24"/>
            <w:szCs w:val="24"/>
          </w:rPr>
          <w:t>School en Veiligheid – Grenzen aan gedrag</w:t>
        </w:r>
      </w:hyperlink>
      <w:r w:rsidRPr="00183E25">
        <w:rPr>
          <w:sz w:val="24"/>
          <w:szCs w:val="24"/>
        </w:rPr>
        <w:t xml:space="preserve"> </w:t>
      </w:r>
    </w:p>
    <w:p w14:paraId="3EDF00E0" w14:textId="77777777" w:rsidR="00532649" w:rsidRDefault="00532649" w:rsidP="00183E25">
      <w:pPr>
        <w:pStyle w:val="Lijstalinea"/>
        <w:numPr>
          <w:ilvl w:val="0"/>
          <w:numId w:val="8"/>
        </w:numPr>
        <w:rPr>
          <w:sz w:val="24"/>
          <w:szCs w:val="24"/>
        </w:rPr>
      </w:pPr>
      <w:hyperlink r:id="rId15" w:history="1">
        <w:r w:rsidRPr="00532649">
          <w:rPr>
            <w:rStyle w:val="Hyperlink"/>
            <w:sz w:val="24"/>
            <w:szCs w:val="24"/>
          </w:rPr>
          <w:t>Vertrouwensinspecteur voor het onderwijs</w:t>
        </w:r>
      </w:hyperlink>
    </w:p>
    <w:p w14:paraId="4C9A9F4C" w14:textId="77777777" w:rsidR="00F013A4" w:rsidRDefault="00DC6158" w:rsidP="00183E25">
      <w:pPr>
        <w:pStyle w:val="Lijstalinea"/>
        <w:numPr>
          <w:ilvl w:val="0"/>
          <w:numId w:val="8"/>
        </w:numPr>
        <w:rPr>
          <w:sz w:val="24"/>
          <w:szCs w:val="24"/>
        </w:rPr>
      </w:pPr>
      <w:hyperlink r:id="rId16" w:history="1">
        <w:r w:rsidRPr="00F013A4">
          <w:rPr>
            <w:rStyle w:val="Hyperlink"/>
            <w:sz w:val="24"/>
            <w:szCs w:val="24"/>
          </w:rPr>
          <w:t>Centrum s</w:t>
        </w:r>
        <w:r w:rsidR="00F013A4" w:rsidRPr="00F013A4">
          <w:rPr>
            <w:rStyle w:val="Hyperlink"/>
            <w:sz w:val="24"/>
            <w:szCs w:val="24"/>
          </w:rPr>
          <w:t xml:space="preserve">eksueel geweld </w:t>
        </w:r>
      </w:hyperlink>
    </w:p>
    <w:p w14:paraId="15914B25" w14:textId="7EEFE8AE" w:rsidR="00183E25" w:rsidRDefault="00F013A4" w:rsidP="004A0E1E">
      <w:pPr>
        <w:pStyle w:val="Lijstalinea"/>
        <w:numPr>
          <w:ilvl w:val="0"/>
          <w:numId w:val="8"/>
        </w:numPr>
        <w:rPr>
          <w:sz w:val="24"/>
          <w:szCs w:val="24"/>
        </w:rPr>
      </w:pPr>
      <w:hyperlink r:id="rId17" w:history="1">
        <w:r w:rsidRPr="004A0E1E">
          <w:rPr>
            <w:rStyle w:val="Hyperlink"/>
            <w:sz w:val="24"/>
            <w:szCs w:val="24"/>
          </w:rPr>
          <w:t xml:space="preserve">Slachtofferhulp </w:t>
        </w:r>
      </w:hyperlink>
      <w:r w:rsidR="00532649" w:rsidRPr="004A0E1E">
        <w:rPr>
          <w:sz w:val="24"/>
          <w:szCs w:val="24"/>
        </w:rPr>
        <w:t xml:space="preserve"> </w:t>
      </w:r>
    </w:p>
    <w:sectPr w:rsidR="00183E25" w:rsidSect="007732F6">
      <w:headerReference w:type="default" r:id="rId18"/>
      <w:footerReference w:type="default" r:id="rId19"/>
      <w:headerReference w:type="first" r:id="rId20"/>
      <w:footerReference w:type="first" r:id="rId21"/>
      <w:pgSz w:w="11906" w:h="16838"/>
      <w:pgMar w:top="1417" w:right="1417" w:bottom="1417" w:left="1417"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DEFB" w14:textId="77777777" w:rsidR="00E66141" w:rsidRDefault="00E66141" w:rsidP="0076575B">
      <w:pPr>
        <w:spacing w:after="0" w:line="240" w:lineRule="auto"/>
      </w:pPr>
      <w:r>
        <w:separator/>
      </w:r>
    </w:p>
  </w:endnote>
  <w:endnote w:type="continuationSeparator" w:id="0">
    <w:p w14:paraId="1DFA410B" w14:textId="77777777" w:rsidR="00E66141" w:rsidRDefault="00E66141" w:rsidP="0076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6F99" w14:textId="2A45D571" w:rsidR="007732F6" w:rsidRDefault="007732F6">
    <w:pPr>
      <w:pStyle w:val="Voettekst"/>
    </w:pPr>
    <w:r>
      <w:rPr>
        <w:noProof/>
      </w:rPr>
      <w:drawing>
        <wp:anchor distT="0" distB="0" distL="114300" distR="114300" simplePos="0" relativeHeight="251662336" behindDoc="0" locked="0" layoutInCell="1" allowOverlap="1" wp14:anchorId="541A2AB7" wp14:editId="30666535">
          <wp:simplePos x="0" y="0"/>
          <wp:positionH relativeFrom="page">
            <wp:posOffset>23495</wp:posOffset>
          </wp:positionH>
          <wp:positionV relativeFrom="paragraph">
            <wp:posOffset>-2120900</wp:posOffset>
          </wp:positionV>
          <wp:extent cx="7547610" cy="2286000"/>
          <wp:effectExtent l="0" t="0" r="0" b="0"/>
          <wp:wrapNone/>
          <wp:docPr id="116925900" name="Afbeelding 1" descr="Afbeelding met Elektrisch blauw,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5900" name="Afbeelding 1" descr="Afbeelding met Elektrisch blauw, ontwe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2286000"/>
                  </a:xfrm>
                  <a:prstGeom prst="rect">
                    <a:avLst/>
                  </a:prstGeom>
                  <a:noFill/>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BD80" w14:textId="6E8665CF" w:rsidR="00B3138A" w:rsidRDefault="00AE76EA">
    <w:pPr>
      <w:pStyle w:val="Voettekst"/>
    </w:pPr>
    <w:r>
      <w:rPr>
        <w:noProof/>
      </w:rPr>
      <w:drawing>
        <wp:anchor distT="0" distB="0" distL="114300" distR="114300" simplePos="0" relativeHeight="251660288" behindDoc="0" locked="0" layoutInCell="1" allowOverlap="1" wp14:anchorId="6E23655A" wp14:editId="7B2EFC54">
          <wp:simplePos x="0" y="0"/>
          <wp:positionH relativeFrom="page">
            <wp:align>right</wp:align>
          </wp:positionH>
          <wp:positionV relativeFrom="paragraph">
            <wp:posOffset>-1829435</wp:posOffset>
          </wp:positionV>
          <wp:extent cx="7547610" cy="2286000"/>
          <wp:effectExtent l="0" t="0" r="0" b="0"/>
          <wp:wrapNone/>
          <wp:docPr id="13203855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2286000"/>
                  </a:xfrm>
                  <a:prstGeom prst="rect">
                    <a:avLst/>
                  </a:prstGeom>
                  <a:noFill/>
                </pic:spPr>
              </pic:pic>
            </a:graphicData>
          </a:graphic>
          <wp14:sizeRelH relativeFrom="margin">
            <wp14:pctWidth>0</wp14:pctWidth>
          </wp14:sizeRelH>
        </wp:anchor>
      </w:drawing>
    </w:r>
  </w:p>
  <w:p w14:paraId="51F8FF23" w14:textId="1BAD9DAB" w:rsidR="00B3138A" w:rsidRDefault="00B31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4BF4" w14:textId="77777777" w:rsidR="00E66141" w:rsidRDefault="00E66141" w:rsidP="0076575B">
      <w:pPr>
        <w:spacing w:after="0" w:line="240" w:lineRule="auto"/>
      </w:pPr>
      <w:r>
        <w:separator/>
      </w:r>
    </w:p>
  </w:footnote>
  <w:footnote w:type="continuationSeparator" w:id="0">
    <w:p w14:paraId="1E005383" w14:textId="77777777" w:rsidR="00E66141" w:rsidRDefault="00E66141" w:rsidP="0076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DA69" w14:textId="62F11FDB" w:rsidR="0076575B" w:rsidRPr="0076575B" w:rsidRDefault="001C027D" w:rsidP="0076575B">
    <w:pPr>
      <w:pStyle w:val="Koptekst"/>
      <w:tabs>
        <w:tab w:val="clear" w:pos="4536"/>
        <w:tab w:val="clear" w:pos="9072"/>
        <w:tab w:val="left" w:pos="1695"/>
      </w:tabs>
    </w:pPr>
    <w:r>
      <w:rPr>
        <w:noProof/>
      </w:rPr>
      <w:drawing>
        <wp:anchor distT="0" distB="0" distL="114300" distR="114300" simplePos="0" relativeHeight="251668480" behindDoc="0" locked="0" layoutInCell="1" allowOverlap="1" wp14:anchorId="2BB73E89" wp14:editId="5BF6D90F">
          <wp:simplePos x="0" y="0"/>
          <wp:positionH relativeFrom="column">
            <wp:posOffset>3443605</wp:posOffset>
          </wp:positionH>
          <wp:positionV relativeFrom="paragraph">
            <wp:posOffset>-411480</wp:posOffset>
          </wp:positionV>
          <wp:extent cx="1024255" cy="847725"/>
          <wp:effectExtent l="0" t="0" r="4445" b="9525"/>
          <wp:wrapSquare wrapText="bothSides"/>
          <wp:docPr id="16424816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847725"/>
                  </a:xfrm>
                  <a:prstGeom prst="rect">
                    <a:avLst/>
                  </a:prstGeom>
                  <a:noFill/>
                </pic:spPr>
              </pic:pic>
            </a:graphicData>
          </a:graphic>
          <wp14:sizeRelH relativeFrom="page">
            <wp14:pctWidth>0</wp14:pctWidth>
          </wp14:sizeRelH>
          <wp14:sizeRelV relativeFrom="page">
            <wp14:pctHeight>0</wp14:pctHeight>
          </wp14:sizeRelV>
        </wp:anchor>
      </w:drawing>
    </w:r>
    <w:r w:rsidR="007732F6">
      <w:rPr>
        <w:noProof/>
      </w:rPr>
      <w:drawing>
        <wp:anchor distT="0" distB="0" distL="114300" distR="114300" simplePos="0" relativeHeight="251664384" behindDoc="0" locked="0" layoutInCell="1" allowOverlap="1" wp14:anchorId="499CA569" wp14:editId="11C05636">
          <wp:simplePos x="0" y="0"/>
          <wp:positionH relativeFrom="column">
            <wp:posOffset>4764405</wp:posOffset>
          </wp:positionH>
          <wp:positionV relativeFrom="paragraph">
            <wp:posOffset>-259080</wp:posOffset>
          </wp:positionV>
          <wp:extent cx="1329055" cy="640080"/>
          <wp:effectExtent l="0" t="0" r="4445" b="7620"/>
          <wp:wrapSquare wrapText="bothSides"/>
          <wp:docPr id="16822697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055" cy="640080"/>
                  </a:xfrm>
                  <a:prstGeom prst="rect">
                    <a:avLst/>
                  </a:prstGeom>
                  <a:noFill/>
                </pic:spPr>
              </pic:pic>
            </a:graphicData>
          </a:graphic>
          <wp14:sizeRelH relativeFrom="page">
            <wp14:pctWidth>0</wp14:pctWidth>
          </wp14:sizeRelH>
          <wp14:sizeRelV relativeFrom="page">
            <wp14:pctHeight>0</wp14:pctHeight>
          </wp14:sizeRelV>
        </wp:anchor>
      </w:drawing>
    </w:r>
    <w:r w:rsidR="007657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7F05" w14:textId="1FE41E02" w:rsidR="00AE76EA" w:rsidRDefault="001C027D" w:rsidP="00B75998">
    <w:pPr>
      <w:pStyle w:val="Koptekst"/>
      <w:jc w:val="center"/>
    </w:pPr>
    <w:r>
      <w:rPr>
        <w:noProof/>
      </w:rPr>
      <w:drawing>
        <wp:anchor distT="0" distB="0" distL="114300" distR="114300" simplePos="0" relativeHeight="251667456" behindDoc="0" locked="0" layoutInCell="1" allowOverlap="1" wp14:anchorId="0D600513" wp14:editId="600BC853">
          <wp:simplePos x="0" y="0"/>
          <wp:positionH relativeFrom="column">
            <wp:posOffset>3392805</wp:posOffset>
          </wp:positionH>
          <wp:positionV relativeFrom="paragraph">
            <wp:posOffset>-398780</wp:posOffset>
          </wp:positionV>
          <wp:extent cx="1023948" cy="844550"/>
          <wp:effectExtent l="0" t="0" r="5080" b="0"/>
          <wp:wrapSquare wrapText="bothSides"/>
          <wp:docPr id="5" name="Afbeelding 2" descr="Proloog - Plataan &g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loog - Plataan &gt;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948"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7A0">
      <w:rPr>
        <w:noProof/>
      </w:rPr>
      <w:drawing>
        <wp:anchor distT="0" distB="0" distL="114300" distR="114300" simplePos="0" relativeHeight="251656192" behindDoc="0" locked="0" layoutInCell="1" allowOverlap="1" wp14:anchorId="53426F77" wp14:editId="383C662C">
          <wp:simplePos x="0" y="0"/>
          <wp:positionH relativeFrom="column">
            <wp:posOffset>4783455</wp:posOffset>
          </wp:positionH>
          <wp:positionV relativeFrom="paragraph">
            <wp:posOffset>-225425</wp:posOffset>
          </wp:positionV>
          <wp:extent cx="1327150" cy="641985"/>
          <wp:effectExtent l="0" t="0" r="6350" b="5715"/>
          <wp:wrapSquare wrapText="bothSides"/>
          <wp:docPr id="18057247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150" cy="641985"/>
                  </a:xfrm>
                  <a:prstGeom prst="rect">
                    <a:avLst/>
                  </a:prstGeom>
                  <a:noFill/>
                </pic:spPr>
              </pic:pic>
            </a:graphicData>
          </a:graphic>
          <wp14:sizeRelH relativeFrom="page">
            <wp14:pctWidth>0</wp14:pctWidth>
          </wp14:sizeRelH>
          <wp14:sizeRelV relativeFrom="page">
            <wp14:pctHeight>0</wp14:pctHeight>
          </wp14:sizeRelV>
        </wp:anchor>
      </w:drawing>
    </w:r>
  </w:p>
  <w:p w14:paraId="11EBF7F7" w14:textId="0E74CBB9" w:rsidR="00AE76EA" w:rsidRDefault="00AE76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84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0680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4E38BE"/>
    <w:multiLevelType w:val="hybridMultilevel"/>
    <w:tmpl w:val="1B3C5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C66F4"/>
    <w:multiLevelType w:val="hybridMultilevel"/>
    <w:tmpl w:val="EC38E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7B0A16"/>
    <w:multiLevelType w:val="hybridMultilevel"/>
    <w:tmpl w:val="4BF68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094E66"/>
    <w:multiLevelType w:val="hybridMultilevel"/>
    <w:tmpl w:val="D71499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7E7B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AC6D0B"/>
    <w:multiLevelType w:val="hybridMultilevel"/>
    <w:tmpl w:val="21B8EC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06365266">
    <w:abstractNumId w:val="0"/>
  </w:num>
  <w:num w:numId="2" w16cid:durableId="225145919">
    <w:abstractNumId w:val="7"/>
  </w:num>
  <w:num w:numId="3" w16cid:durableId="1572697179">
    <w:abstractNumId w:val="6"/>
  </w:num>
  <w:num w:numId="4" w16cid:durableId="326637737">
    <w:abstractNumId w:val="3"/>
  </w:num>
  <w:num w:numId="5" w16cid:durableId="1068845969">
    <w:abstractNumId w:val="1"/>
  </w:num>
  <w:num w:numId="6" w16cid:durableId="1081103633">
    <w:abstractNumId w:val="4"/>
  </w:num>
  <w:num w:numId="7" w16cid:durableId="1608350787">
    <w:abstractNumId w:val="5"/>
  </w:num>
  <w:num w:numId="8" w16cid:durableId="214731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3A"/>
    <w:rsid w:val="00005944"/>
    <w:rsid w:val="00015587"/>
    <w:rsid w:val="000207A0"/>
    <w:rsid w:val="000C6422"/>
    <w:rsid w:val="000D209B"/>
    <w:rsid w:val="000F193E"/>
    <w:rsid w:val="00146A6A"/>
    <w:rsid w:val="00183E25"/>
    <w:rsid w:val="001C027D"/>
    <w:rsid w:val="001F240C"/>
    <w:rsid w:val="0021428A"/>
    <w:rsid w:val="00220AF3"/>
    <w:rsid w:val="00247709"/>
    <w:rsid w:val="002704B5"/>
    <w:rsid w:val="002A4A84"/>
    <w:rsid w:val="002C7E3A"/>
    <w:rsid w:val="003304C6"/>
    <w:rsid w:val="003427EB"/>
    <w:rsid w:val="0038275D"/>
    <w:rsid w:val="003A0A31"/>
    <w:rsid w:val="003E6330"/>
    <w:rsid w:val="00420A0E"/>
    <w:rsid w:val="004425B3"/>
    <w:rsid w:val="00460265"/>
    <w:rsid w:val="00484970"/>
    <w:rsid w:val="004A0E1E"/>
    <w:rsid w:val="004A189C"/>
    <w:rsid w:val="004A24CF"/>
    <w:rsid w:val="004A6808"/>
    <w:rsid w:val="004A7AF0"/>
    <w:rsid w:val="00532649"/>
    <w:rsid w:val="00587A4C"/>
    <w:rsid w:val="00597636"/>
    <w:rsid w:val="005E44C8"/>
    <w:rsid w:val="006249CE"/>
    <w:rsid w:val="00625416"/>
    <w:rsid w:val="00697ABE"/>
    <w:rsid w:val="006D4430"/>
    <w:rsid w:val="006D4922"/>
    <w:rsid w:val="006F1664"/>
    <w:rsid w:val="00701319"/>
    <w:rsid w:val="00712B25"/>
    <w:rsid w:val="00716C79"/>
    <w:rsid w:val="007231A0"/>
    <w:rsid w:val="0076575B"/>
    <w:rsid w:val="007732F6"/>
    <w:rsid w:val="0078508E"/>
    <w:rsid w:val="007B23AB"/>
    <w:rsid w:val="007B26F1"/>
    <w:rsid w:val="00812700"/>
    <w:rsid w:val="00814599"/>
    <w:rsid w:val="00841100"/>
    <w:rsid w:val="00890C4B"/>
    <w:rsid w:val="008A5C0B"/>
    <w:rsid w:val="00912F86"/>
    <w:rsid w:val="009F58CE"/>
    <w:rsid w:val="00A44F89"/>
    <w:rsid w:val="00A54756"/>
    <w:rsid w:val="00A66024"/>
    <w:rsid w:val="00A73E1E"/>
    <w:rsid w:val="00A74020"/>
    <w:rsid w:val="00A76866"/>
    <w:rsid w:val="00A774A1"/>
    <w:rsid w:val="00A91BA3"/>
    <w:rsid w:val="00AB551A"/>
    <w:rsid w:val="00AE76EA"/>
    <w:rsid w:val="00B16277"/>
    <w:rsid w:val="00B3138A"/>
    <w:rsid w:val="00B46337"/>
    <w:rsid w:val="00B508BE"/>
    <w:rsid w:val="00B5161C"/>
    <w:rsid w:val="00B75998"/>
    <w:rsid w:val="00BA4ECC"/>
    <w:rsid w:val="00C44B14"/>
    <w:rsid w:val="00C53F7B"/>
    <w:rsid w:val="00D20905"/>
    <w:rsid w:val="00D23D6C"/>
    <w:rsid w:val="00D86ABF"/>
    <w:rsid w:val="00D93FBB"/>
    <w:rsid w:val="00DA5C5F"/>
    <w:rsid w:val="00DC6158"/>
    <w:rsid w:val="00DE0DE4"/>
    <w:rsid w:val="00DE3D31"/>
    <w:rsid w:val="00E31AA7"/>
    <w:rsid w:val="00E447C3"/>
    <w:rsid w:val="00E66141"/>
    <w:rsid w:val="00EC1653"/>
    <w:rsid w:val="00EE5A2D"/>
    <w:rsid w:val="00F013A4"/>
    <w:rsid w:val="00F50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E166"/>
  <w15:docId w15:val="{C2452FA7-3EBF-45D6-AD54-9C84B1B0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2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A7A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657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575B"/>
  </w:style>
  <w:style w:type="paragraph" w:styleId="Voettekst">
    <w:name w:val="footer"/>
    <w:basedOn w:val="Standaard"/>
    <w:link w:val="VoettekstChar"/>
    <w:uiPriority w:val="99"/>
    <w:unhideWhenUsed/>
    <w:rsid w:val="00765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575B"/>
  </w:style>
  <w:style w:type="character" w:styleId="Tekstvantijdelijkeaanduiding">
    <w:name w:val="Placeholder Text"/>
    <w:basedOn w:val="Standaardalinea-lettertype"/>
    <w:uiPriority w:val="99"/>
    <w:semiHidden/>
    <w:rsid w:val="0076575B"/>
    <w:rPr>
      <w:color w:val="808080"/>
    </w:rPr>
  </w:style>
  <w:style w:type="character" w:customStyle="1" w:styleId="Kop1Char">
    <w:name w:val="Kop 1 Char"/>
    <w:basedOn w:val="Standaardalinea-lettertype"/>
    <w:link w:val="Kop1"/>
    <w:uiPriority w:val="9"/>
    <w:rsid w:val="004A24C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A24CF"/>
    <w:pPr>
      <w:outlineLvl w:val="9"/>
    </w:pPr>
    <w:rPr>
      <w:lang w:eastAsia="nl-NL"/>
    </w:rPr>
  </w:style>
  <w:style w:type="character" w:customStyle="1" w:styleId="Kop2Char">
    <w:name w:val="Kop 2 Char"/>
    <w:basedOn w:val="Standaardalinea-lettertype"/>
    <w:link w:val="Kop2"/>
    <w:uiPriority w:val="9"/>
    <w:rsid w:val="004A7AF0"/>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4A7AF0"/>
    <w:pPr>
      <w:spacing w:after="100"/>
    </w:pPr>
  </w:style>
  <w:style w:type="character" w:styleId="Hyperlink">
    <w:name w:val="Hyperlink"/>
    <w:basedOn w:val="Standaardalinea-lettertype"/>
    <w:uiPriority w:val="99"/>
    <w:unhideWhenUsed/>
    <w:rsid w:val="004A7AF0"/>
    <w:rPr>
      <w:color w:val="0563C1" w:themeColor="hyperlink"/>
      <w:u w:val="single"/>
    </w:rPr>
  </w:style>
  <w:style w:type="paragraph" w:styleId="Inhopg2">
    <w:name w:val="toc 2"/>
    <w:basedOn w:val="Standaard"/>
    <w:next w:val="Standaard"/>
    <w:autoRedefine/>
    <w:uiPriority w:val="39"/>
    <w:unhideWhenUsed/>
    <w:rsid w:val="00841100"/>
    <w:pPr>
      <w:spacing w:after="100"/>
      <w:ind w:left="220"/>
    </w:pPr>
  </w:style>
  <w:style w:type="paragraph" w:styleId="Geenafstand">
    <w:name w:val="No Spacing"/>
    <w:link w:val="GeenafstandChar"/>
    <w:uiPriority w:val="1"/>
    <w:qFormat/>
    <w:rsid w:val="00D23D6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D23D6C"/>
    <w:rPr>
      <w:rFonts w:eastAsiaTheme="minorEastAsia"/>
      <w:lang w:eastAsia="nl-NL"/>
    </w:rPr>
  </w:style>
  <w:style w:type="paragraph" w:customStyle="1" w:styleId="Default">
    <w:name w:val="Default"/>
    <w:rsid w:val="00D93FBB"/>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DE3D31"/>
    <w:pPr>
      <w:ind w:left="720"/>
      <w:contextualSpacing/>
    </w:pPr>
  </w:style>
  <w:style w:type="character" w:styleId="Onopgelostemelding">
    <w:name w:val="Unresolved Mention"/>
    <w:basedOn w:val="Standaardalinea-lettertype"/>
    <w:uiPriority w:val="99"/>
    <w:semiHidden/>
    <w:unhideWhenUsed/>
    <w:rsid w:val="00C4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nderwijsinspectie.nl/onderwerpen/klachten/vertrouwensinspecteurs/seksueel-misdrijf" TargetMode="External"/><Relationship Id="rId17" Type="http://schemas.openxmlformats.org/officeDocument/2006/relationships/hyperlink" Target="https://www.slachtofferhulp.nl/" TargetMode="External"/><Relationship Id="rId2" Type="http://schemas.openxmlformats.org/officeDocument/2006/relationships/customXml" Target="../customXml/item2.xml"/><Relationship Id="rId16" Type="http://schemas.openxmlformats.org/officeDocument/2006/relationships/hyperlink" Target="https://centrumseksueelgeweld.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enveiligheid.nl/thema/seksuele-grensoverschrijding-po/" TargetMode="External"/><Relationship Id="rId5" Type="http://schemas.openxmlformats.org/officeDocument/2006/relationships/numbering" Target="numbering.xml"/><Relationship Id="rId15" Type="http://schemas.openxmlformats.org/officeDocument/2006/relationships/hyperlink" Target="https://www.onderwijsinspectie.nl/onderwerpen/klachten/vertrouwensinspecteurs/vertrouwensinspecteur-onderwij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enveiligheid.nl/kennisbank/grenzen-aan-gedra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daSchokker\Stichting%20Proloog\Proloog%20Leeuwarden%20-%20Documenten\PR,%20Communicatie%20&amp;%20Huisstijl\Sjablonen%20(briefpapier,%20ppt%20etc)\Document%20met%20voorkant%20forma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43b0f3-6b58-4b23-8ba2-3bcee8f1f944">
      <Terms xmlns="http://schemas.microsoft.com/office/infopath/2007/PartnerControls"/>
    </lcf76f155ced4ddcb4097134ff3c332f>
    <TaxCatchAll xmlns="bab894f6-adf3-415b-aa4a-def35758e23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63BE8AB795DE43BAF25C4EE1AEFBC5" ma:contentTypeVersion="19" ma:contentTypeDescription="Een nieuw document maken." ma:contentTypeScope="" ma:versionID="c63792a33a862a1d76fca2b33d5a26f7">
  <xsd:schema xmlns:xsd="http://www.w3.org/2001/XMLSchema" xmlns:xs="http://www.w3.org/2001/XMLSchema" xmlns:p="http://schemas.microsoft.com/office/2006/metadata/properties" xmlns:ns2="1643b0f3-6b58-4b23-8ba2-3bcee8f1f944" xmlns:ns3="bab894f6-adf3-415b-aa4a-def35758e234" targetNamespace="http://schemas.microsoft.com/office/2006/metadata/properties" ma:root="true" ma:fieldsID="d6425f963c25c2458bc401417cc575c0" ns2:_="" ns3:_="">
    <xsd:import namespace="1643b0f3-6b58-4b23-8ba2-3bcee8f1f944"/>
    <xsd:import namespace="bab894f6-adf3-415b-aa4a-def35758e2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b0f3-6b58-4b23-8ba2-3bcee8f1f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0ebb935-c242-4bec-a714-78872de31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894f6-adf3-415b-aa4a-def35758e23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4313d4f-be08-4cb3-9652-c00bf2131f0d}" ma:internalName="TaxCatchAll" ma:showField="CatchAllData" ma:web="bab894f6-adf3-415b-aa4a-def35758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FA805-11C0-48D4-AFA1-50BFB4A14C46}">
  <ds:schemaRefs>
    <ds:schemaRef ds:uri="http://schemas.openxmlformats.org/officeDocument/2006/bibliography"/>
  </ds:schemaRefs>
</ds:datastoreItem>
</file>

<file path=customXml/itemProps2.xml><?xml version="1.0" encoding="utf-8"?>
<ds:datastoreItem xmlns:ds="http://schemas.openxmlformats.org/officeDocument/2006/customXml" ds:itemID="{777A41B9-6534-4BF7-BBBD-355CA90A6A15}">
  <ds:schemaRefs>
    <ds:schemaRef ds:uri="http://schemas.microsoft.com/sharepoint/v3/contenttype/forms"/>
  </ds:schemaRefs>
</ds:datastoreItem>
</file>

<file path=customXml/itemProps3.xml><?xml version="1.0" encoding="utf-8"?>
<ds:datastoreItem xmlns:ds="http://schemas.openxmlformats.org/officeDocument/2006/customXml" ds:itemID="{061B0E72-15C1-4464-B43B-8786A1CF4871}">
  <ds:schemaRefs>
    <ds:schemaRef ds:uri="http://purl.org/dc/elements/1.1/"/>
    <ds:schemaRef ds:uri="http://schemas.microsoft.com/office/2006/metadata/properties"/>
    <ds:schemaRef ds:uri="bab894f6-adf3-415b-aa4a-def35758e23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643b0f3-6b58-4b23-8ba2-3bcee8f1f944"/>
    <ds:schemaRef ds:uri="http://www.w3.org/XML/1998/namespace"/>
    <ds:schemaRef ds:uri="http://purl.org/dc/dcmitype/"/>
  </ds:schemaRefs>
</ds:datastoreItem>
</file>

<file path=customXml/itemProps4.xml><?xml version="1.0" encoding="utf-8"?>
<ds:datastoreItem xmlns:ds="http://schemas.openxmlformats.org/officeDocument/2006/customXml" ds:itemID="{3B76BA83-D22E-4965-AA5B-A02C94AC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b0f3-6b58-4b23-8ba2-3bcee8f1f944"/>
    <ds:schemaRef ds:uri="bab894f6-adf3-415b-aa4a-def35758e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met voorkant format</Template>
  <TotalTime>2</TotalTime>
  <Pages>3</Pages>
  <Words>827</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Schokker</dc:creator>
  <cp:keywords/>
  <dc:description/>
  <cp:lastModifiedBy>Gerda  Schokker</cp:lastModifiedBy>
  <cp:revision>4</cp:revision>
  <dcterms:created xsi:type="dcterms:W3CDTF">2026-03-03T10:22:00Z</dcterms:created>
  <dcterms:modified xsi:type="dcterms:W3CDTF">2026-03-03T10:24:00Z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0x0101009D63BE8AB795DE43BAF25C4EE1AEFBC5</vt:lpwstr>
  </property>
</Properties>
</file>